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8zoihv9fvipr" w:id="0"/>
      <w:bookmarkEnd w:id="0"/>
      <w:r w:rsidDel="00000000" w:rsidR="00000000" w:rsidRPr="00000000">
        <w:rPr>
          <w:rtl w:val="0"/>
        </w:rPr>
        <w:t xml:space="preserve">Instrucciones para el uso de Zoom en la asamblea de la SEBBM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Hay 2 formas diferentes para poder universe a la asamblea a través de la plataforma Zoom. La primera de ellas, y más habitual, es utilizando un equipo informático (ordenador, teléfono móvil o tablet) y la segunda es a través de una llamada telefónica.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klzto9x4xwyp" w:id="1"/>
      <w:bookmarkEnd w:id="1"/>
      <w:r w:rsidDel="00000000" w:rsidR="00000000" w:rsidRPr="00000000">
        <w:rPr>
          <w:rtl w:val="0"/>
        </w:rPr>
        <w:t xml:space="preserve">Unirse desde un ordenador, smartphone o tablet</w:t>
      </w:r>
    </w:p>
    <w:tbl>
      <w:tblPr>
        <w:tblStyle w:val="Table1"/>
        <w:tblW w:w="9630.0" w:type="dxa"/>
        <w:jc w:val="left"/>
        <w:tblInd w:w="0.0" w:type="pct"/>
        <w:tblLayout w:type="fixed"/>
        <w:tblLook w:val="0600"/>
      </w:tblPr>
      <w:tblGrid>
        <w:gridCol w:w="3990"/>
        <w:gridCol w:w="2910"/>
        <w:gridCol w:w="2730"/>
        <w:tblGridChange w:id="0">
          <w:tblGrid>
            <w:gridCol w:w="3990"/>
            <w:gridCol w:w="2910"/>
            <w:gridCol w:w="2730"/>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6">
            <w:pPr>
              <w:jc w:val="center"/>
              <w:rPr>
                <w:b w:val="1"/>
              </w:rPr>
            </w:pPr>
            <w:r w:rsidDel="00000000" w:rsidR="00000000" w:rsidRPr="00000000">
              <w:rPr>
                <w:b w:val="1"/>
                <w:rtl w:val="0"/>
              </w:rPr>
              <w:t xml:space="preserve">Enlace de la reunión:</w:t>
            </w:r>
          </w:p>
          <w:p w:rsidR="00000000" w:rsidDel="00000000" w:rsidP="00000000" w:rsidRDefault="00000000" w:rsidRPr="00000000" w14:paraId="00000007">
            <w:pPr>
              <w:jc w:val="center"/>
              <w:rPr/>
            </w:pPr>
            <w:hyperlink r:id="rId6">
              <w:r w:rsidDel="00000000" w:rsidR="00000000" w:rsidRPr="00000000">
                <w:rPr>
                  <w:color w:val="1155cc"/>
                  <w:u w:val="single"/>
                  <w:rtl w:val="0"/>
                </w:rPr>
                <w:t xml:space="preserve">bit.ly/asambleasebbm</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8">
            <w:pPr>
              <w:jc w:val="center"/>
              <w:rPr>
                <w:b w:val="1"/>
              </w:rPr>
            </w:pPr>
            <w:r w:rsidDel="00000000" w:rsidR="00000000" w:rsidRPr="00000000">
              <w:rPr>
                <w:b w:val="1"/>
                <w:rtl w:val="0"/>
              </w:rPr>
              <w:t xml:space="preserve">ID de reunión:</w:t>
            </w:r>
          </w:p>
          <w:p w:rsidR="00000000" w:rsidDel="00000000" w:rsidP="00000000" w:rsidRDefault="00000000" w:rsidRPr="00000000" w14:paraId="00000009">
            <w:pPr>
              <w:jc w:val="center"/>
              <w:rPr/>
            </w:pPr>
            <w:r w:rsidDel="00000000" w:rsidR="00000000" w:rsidRPr="00000000">
              <w:rPr>
                <w:rtl w:val="0"/>
              </w:rPr>
              <w:t xml:space="preserve">889 2427 9702</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A">
            <w:pPr>
              <w:jc w:val="center"/>
              <w:rPr>
                <w:b w:val="1"/>
              </w:rPr>
            </w:pPr>
            <w:r w:rsidDel="00000000" w:rsidR="00000000" w:rsidRPr="00000000">
              <w:rPr>
                <w:b w:val="1"/>
                <w:rtl w:val="0"/>
              </w:rPr>
              <w:t xml:space="preserve">Contraseña:</w:t>
            </w:r>
          </w:p>
          <w:p w:rsidR="00000000" w:rsidDel="00000000" w:rsidP="00000000" w:rsidRDefault="00000000" w:rsidRPr="00000000" w14:paraId="0000000B">
            <w:pPr>
              <w:jc w:val="center"/>
              <w:rPr/>
            </w:pPr>
            <w:r w:rsidDel="00000000" w:rsidR="00000000" w:rsidRPr="00000000">
              <w:rPr>
                <w:rtl w:val="0"/>
              </w:rPr>
              <w:t xml:space="preserve">sebbm2207</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En primer lugar, necesitas tener la aplicación de Zoom descargada. Te recomendamos que lo hagas cuanto antes de cara a que el día de la reunión tengas ya preparada la aplicación. Para ello te facilitamos los siguientes enlaces:</w:t>
      </w:r>
    </w:p>
    <w:p w:rsidR="00000000" w:rsidDel="00000000" w:rsidP="00000000" w:rsidRDefault="00000000" w:rsidRPr="00000000" w14:paraId="0000000E">
      <w:pPr>
        <w:numPr>
          <w:ilvl w:val="1"/>
          <w:numId w:val="2"/>
        </w:numPr>
        <w:ind w:left="1440" w:hanging="360"/>
        <w:rPr>
          <w:u w:val="none"/>
        </w:rPr>
      </w:pPr>
      <w:hyperlink r:id="rId7">
        <w:r w:rsidDel="00000000" w:rsidR="00000000" w:rsidRPr="00000000">
          <w:rPr>
            <w:color w:val="1155cc"/>
            <w:u w:val="single"/>
            <w:rtl w:val="0"/>
          </w:rPr>
          <w:t xml:space="preserve">Descarga la app en ordenador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numPr>
          <w:ilvl w:val="1"/>
          <w:numId w:val="2"/>
        </w:numPr>
        <w:ind w:left="1440" w:hanging="360"/>
        <w:rPr>
          <w:u w:val="none"/>
        </w:rPr>
      </w:pPr>
      <w:hyperlink r:id="rId8">
        <w:r w:rsidDel="00000000" w:rsidR="00000000" w:rsidRPr="00000000">
          <w:rPr>
            <w:color w:val="1155cc"/>
            <w:u w:val="single"/>
            <w:rtl w:val="0"/>
          </w:rPr>
          <w:t xml:space="preserve">Descarga la app en teléfono móvil o tablet Android (Google Play)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numPr>
          <w:ilvl w:val="1"/>
          <w:numId w:val="2"/>
        </w:numPr>
        <w:ind w:left="1440" w:hanging="360"/>
        <w:rPr>
          <w:u w:val="none"/>
        </w:rPr>
      </w:pPr>
      <w:hyperlink r:id="rId9">
        <w:r w:rsidDel="00000000" w:rsidR="00000000" w:rsidRPr="00000000">
          <w:rPr>
            <w:color w:val="1155cc"/>
            <w:u w:val="single"/>
            <w:rtl w:val="0"/>
          </w:rPr>
          <w:t xml:space="preserve">Descarga la app en teléfono móvil o tablet iOS (Apple Store)</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Una vez descargada la aplicación de Zoom, ya podremos iniciar la videollamada. Para ello, hay dos opciones:</w:t>
      </w:r>
    </w:p>
    <w:p w:rsidR="00000000" w:rsidDel="00000000" w:rsidP="00000000" w:rsidRDefault="00000000" w:rsidRPr="00000000" w14:paraId="00000013">
      <w:pPr>
        <w:numPr>
          <w:ilvl w:val="1"/>
          <w:numId w:val="2"/>
        </w:numPr>
        <w:ind w:left="1440" w:hanging="360"/>
        <w:rPr>
          <w:u w:val="none"/>
        </w:rPr>
      </w:pPr>
      <w:r w:rsidDel="00000000" w:rsidR="00000000" w:rsidRPr="00000000">
        <w:rPr>
          <w:rtl w:val="0"/>
        </w:rPr>
        <w:t xml:space="preserve">Escribir el enlace de la reunión en nuestro navegador, luego nos dirigirá a la aplicación con la reunión.</w:t>
      </w:r>
    </w:p>
    <w:p w:rsidR="00000000" w:rsidDel="00000000" w:rsidP="00000000" w:rsidRDefault="00000000" w:rsidRPr="00000000" w14:paraId="00000014">
      <w:pPr>
        <w:numPr>
          <w:ilvl w:val="1"/>
          <w:numId w:val="2"/>
        </w:numPr>
        <w:ind w:left="1440" w:hanging="360"/>
        <w:rPr>
          <w:u w:val="none"/>
        </w:rPr>
      </w:pPr>
      <w:r w:rsidDel="00000000" w:rsidR="00000000" w:rsidRPr="00000000">
        <w:rPr>
          <w:rtl w:val="0"/>
        </w:rPr>
        <w:t xml:space="preserve">Abrir la aplicación de Zoom y darle a “Entrar a una reunión”, a “Unirse” o a algo similar.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Luego, dependiendo si nos pide ID de reunión y/o contraseña, se lo indicaremos al programa. Si nos pide un nombre, hay que dárselo también, para que el anfitrión de la reunión pueda saber quién es cada persona. Para esto último lo mejor es indicar el nombre completo.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El primero en poder unirse a la reunión es el anfitrión, así que si intentas entrar antes de que haya llegado, te saldrá una pantalla avisándote para que esperes a que llegue. En este caso, te tocará esperar hasta que te indique que ya puedes entrar.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Cuando ya puedas entrar, tendrás que darle permiso para unirte con audio y con vídeo, aunque por defecto entrarás en la reunión tanto con el micrófono como con la cámara desactivados.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Para poder hablar, hay que “Levantar la mano”. Podrás ver que hay un botón con ese nombre. Dicho botón está localizado en “Más” (puntos suspensivos) o haciendo click primero en “Participantes” y luego en los puntos suspensivos.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pPr>
      <w:bookmarkStart w:colFirst="0" w:colLast="0" w:name="_e97gxivf4mh3" w:id="2"/>
      <w:bookmarkEnd w:id="2"/>
      <w:r w:rsidDel="00000000" w:rsidR="00000000" w:rsidRPr="00000000">
        <w:rPr>
          <w:rtl w:val="0"/>
        </w:rPr>
        <w:t xml:space="preserve">Unirse mediante llamada telefónica</w:t>
      </w:r>
    </w:p>
    <w:tbl>
      <w:tblPr>
        <w:tblStyle w:val="Table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3.3333333333335"/>
        <w:gridCol w:w="3213.3333333333335"/>
        <w:gridCol w:w="3213.3333333333335"/>
        <w:tblGridChange w:id="0">
          <w:tblGrid>
            <w:gridCol w:w="3213.3333333333335"/>
            <w:gridCol w:w="3213.3333333333335"/>
            <w:gridCol w:w="3213.333333333333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Teléfonos: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917 873 431</w:t>
              <w:br w:type="textWrapping"/>
              <w:t xml:space="preserve">843 685 025</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917 870 058</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2">
            <w:pPr>
              <w:jc w:val="center"/>
              <w:rPr>
                <w:b w:val="1"/>
              </w:rPr>
            </w:pPr>
            <w:r w:rsidDel="00000000" w:rsidR="00000000" w:rsidRPr="00000000">
              <w:rPr>
                <w:b w:val="1"/>
                <w:rtl w:val="0"/>
              </w:rPr>
              <w:t xml:space="preserve">ID de reunión:</w:t>
            </w:r>
          </w:p>
          <w:p w:rsidR="00000000" w:rsidDel="00000000" w:rsidP="00000000" w:rsidRDefault="00000000" w:rsidRPr="00000000" w14:paraId="00000023">
            <w:pPr>
              <w:jc w:val="center"/>
              <w:rPr/>
            </w:pPr>
            <w:r w:rsidDel="00000000" w:rsidR="00000000" w:rsidRPr="00000000">
              <w:rPr>
                <w:rtl w:val="0"/>
              </w:rPr>
              <w:t xml:space="preserve">889 2427 9702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4">
            <w:pPr>
              <w:jc w:val="center"/>
              <w:rPr>
                <w:b w:val="1"/>
              </w:rPr>
            </w:pPr>
            <w:r w:rsidDel="00000000" w:rsidR="00000000" w:rsidRPr="00000000">
              <w:rPr>
                <w:b w:val="1"/>
                <w:rtl w:val="0"/>
              </w:rPr>
              <w:t xml:space="preserve">Contraseña:</w:t>
            </w:r>
          </w:p>
          <w:p w:rsidR="00000000" w:rsidDel="00000000" w:rsidP="00000000" w:rsidRDefault="00000000" w:rsidRPr="00000000" w14:paraId="00000025">
            <w:pPr>
              <w:jc w:val="center"/>
              <w:rPr/>
            </w:pPr>
            <w:r w:rsidDel="00000000" w:rsidR="00000000" w:rsidRPr="00000000">
              <w:rPr>
                <w:rtl w:val="0"/>
              </w:rPr>
              <w:t xml:space="preserve">512381594</w:t>
            </w: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Si no tienes buena conexión a internet, aunque sí dispones de un teléfono con cobertura, puedes unirte a la reunión mediante una llamada telefónica.</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Es importante saber si dispones de llamadas ilimitadas, minutos gratuitos o alguna tarifa que te permita conectarte sin que te cueste mucho dinero, ya que la llamada te la cobrará tu operadora de telefonía móvil según la tarifa que tú tengas para llamar a un teléfono español.Instrucciones para el uso de Zoom en la asamblea de la SEBBM.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En primer lugar, deberás llamar a alguno de los números de teléfono indicados aquí arriba. No importa cual escojas, hay varios por si alguno no funcionase en algún momento puntual.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Introduce el ID de reunión y pulsa el símbolo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Si aún no ha llegado el anfitrión, te indicarán que pulses solo el símbolo # y tendrás que esperar a que llegue.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Si el anfitrión ya ha llegado, deberás introducir la contraseña numérica y pulsar el símbolo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El anfitrión te dará acceso. Mientras que no te lo dé, tendrás una música de fondo.</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Una vez dentro de la reunión, solamente podrás hablar si el anfitrión te da permiso para ello, mientras tanto estarás silenciado y tan solo podrás escuchar.</w:t>
      </w:r>
    </w:p>
    <w:sectPr>
      <w:headerReference r:id="rId10" w:type="default"/>
      <w:footerReference r:id="rId11" w:type="default"/>
      <w:pgSz w:h="16838" w:w="11906" w:orient="portrait"/>
      <w:pgMar w:bottom="1133.8582677165355" w:top="1133.8582677165355" w:left="1133.8582677165355" w:right="1133.8582677165355"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center"/>
      <w:rPr>
        <w:i w:val="1"/>
        <w:sz w:val="18"/>
        <w:szCs w:val="18"/>
      </w:rPr>
    </w:pPr>
    <w:r w:rsidDel="00000000" w:rsidR="00000000" w:rsidRPr="00000000">
      <w:rPr>
        <w:i w:val="1"/>
        <w:sz w:val="18"/>
        <w:szCs w:val="18"/>
        <w:rtl w:val="0"/>
      </w:rPr>
      <w:t xml:space="preserve">Laniakea Management &amp; Communication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ind w:left="0" w:firstLine="0"/>
      <w:rPr>
        <w:sz w:val="2"/>
        <w:szCs w:val="2"/>
      </w:rPr>
    </w:pPr>
    <w:r w:rsidDel="00000000" w:rsidR="00000000" w:rsidRPr="00000000">
      <w:rPr>
        <w:sz w:val="2"/>
        <w:szCs w:val="2"/>
      </w:rPr>
      <mc:AlternateContent>
        <mc:Choice Requires="wpg">
          <w:drawing>
            <wp:anchor allowOverlap="1" behindDoc="0" distB="57150" distT="57150" distL="57150" distR="57150" hidden="0" layoutInCell="1" locked="0" relativeHeight="0" simplePos="0">
              <wp:simplePos x="0" y="0"/>
              <wp:positionH relativeFrom="margin">
                <wp:posOffset>-733424</wp:posOffset>
              </wp:positionH>
              <wp:positionV relativeFrom="margin">
                <wp:posOffset>-1157718</wp:posOffset>
              </wp:positionV>
              <wp:extent cx="335056" cy="11165250"/>
              <wp:effectExtent b="0" l="0" r="0" t="0"/>
              <wp:wrapSquare wrapText="bothSides" distB="57150" distT="57150" distL="57150" distR="57150"/>
              <wp:docPr id="1" name=""/>
              <a:graphic>
                <a:graphicData uri="http://schemas.microsoft.com/office/word/2010/wordprocessingShape">
                  <wps:wsp>
                    <wps:cNvSpPr/>
                    <wps:cNvPr id="2" name="Shape 2"/>
                    <wps:spPr>
                      <a:xfrm>
                        <a:off x="2366975" y="652625"/>
                        <a:ext cx="175200" cy="6253500"/>
                      </a:xfrm>
                      <a:prstGeom prst="rect">
                        <a:avLst/>
                      </a:prstGeom>
                      <a:solidFill>
                        <a:srgbClr val="1D71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margin">
                <wp:posOffset>-733424</wp:posOffset>
              </wp:positionH>
              <wp:positionV relativeFrom="margin">
                <wp:posOffset>-1157718</wp:posOffset>
              </wp:positionV>
              <wp:extent cx="335056" cy="11165250"/>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35056" cy="11165250"/>
                      </a:xfrm>
                      <a:prstGeom prst="rect"/>
                      <a:ln/>
                    </pic:spPr>
                  </pic:pic>
                </a:graphicData>
              </a:graphic>
            </wp:anchor>
          </w:drawing>
        </mc:Fallback>
      </mc:AlternateContent>
    </w:r>
    <w:r w:rsidDel="00000000" w:rsidR="00000000" w:rsidRPr="00000000">
      <w:rPr>
        <w:rtl w:val="0"/>
      </w:rPr>
    </w:r>
  </w:p>
  <w:tbl>
    <w:tblPr>
      <w:tblStyle w:val="Table3"/>
      <w:tblW w:w="96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743120" cy="648000"/>
                <wp:effectExtent b="0" l="0" r="0" 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743120" cy="648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drawing>
              <wp:inline distB="114300" distT="114300" distL="114300" distR="114300">
                <wp:extent cx="2093040" cy="648000"/>
                <wp:effectExtent b="0" l="0" r="0" t="0"/>
                <wp:docPr id="2" name="image2.png"/>
                <a:graphic>
                  <a:graphicData uri="http://schemas.openxmlformats.org/drawingml/2006/picture">
                    <pic:pic>
                      <pic:nvPicPr>
                        <pic:cNvPr id="0" name="image2.png"/>
                        <pic:cNvPicPr preferRelativeResize="0"/>
                      </pic:nvPicPr>
                      <pic:blipFill>
                        <a:blip r:embed="rId3"/>
                        <a:srcRect b="4026" l="0" r="0" t="6590"/>
                        <a:stretch>
                          <a:fillRect/>
                        </a:stretch>
                      </pic:blipFill>
                      <pic:spPr>
                        <a:xfrm>
                          <a:off x="0" y="0"/>
                          <a:ext cx="2093040" cy="648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9">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b w:val="1"/>
      <w:sz w:val="32"/>
      <w:szCs w:val="32"/>
    </w:rPr>
  </w:style>
  <w:style w:type="paragraph" w:styleId="Heading2">
    <w:name w:val="heading 2"/>
    <w:basedOn w:val="Normal"/>
    <w:next w:val="Normal"/>
    <w:pPr>
      <w:keepNext w:val="1"/>
      <w:keepLines w:val="1"/>
      <w:spacing w:after="120" w:before="360" w:lineRule="auto"/>
      <w:jc w:val="center"/>
    </w:pPr>
    <w:rPr>
      <w:b w:val="1"/>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s.apple.com/es/app/id546505307" TargetMode="External"/><Relationship Id="rId5" Type="http://schemas.openxmlformats.org/officeDocument/2006/relationships/styles" Target="styles.xml"/><Relationship Id="rId6" Type="http://schemas.openxmlformats.org/officeDocument/2006/relationships/hyperlink" Target="https://bit.ly/asambleasebbm" TargetMode="External"/><Relationship Id="rId7" Type="http://schemas.openxmlformats.org/officeDocument/2006/relationships/hyperlink" Target="https://zoom.us/download" TargetMode="External"/><Relationship Id="rId8" Type="http://schemas.openxmlformats.org/officeDocument/2006/relationships/hyperlink" Target="https://play.google.com/store/apps/details?id=us.zoom.videomeet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